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2025 23 vom 1. September 2025</w:t>
      </w:r>
    </w:p>
    <w:p>
      <w:r>
        <w:t>SZ Gerichte, 2025-09-01, DE</w:t>
      </w:r>
    </w:p>
    <w:p>
      <w:r>
        <w:rPr>
          <w:b/>
        </w:rPr>
        <w:t xml:space="preserve">Quelle: </w:t>
      </w:r>
      <w:r>
        <w:t>https://mcp.opencaselaw.ch/entscheid/sz_gerichte_STK 2025 23</w:t>
      </w:r>
    </w:p>
    <w:p>
      <w:r>
        <w:t>FR: SZ_GERICHTE STK 2025 23 du 1 septembre 2025</w:t>
      </w:r>
    </w:p>
    <w:p>
      <w:r>
        <w:t>IT: SZ_GERICHTE STK 2025 23 del 1 settembre 2025</w:t>
      </w:r>
    </w:p>
    <w:p>
      <w:pPr>
        <w:pStyle w:val="Heading2"/>
      </w:pPr>
      <w:r>
        <w:t>Regeste</w:t>
      </w:r>
    </w:p>
    <w:p>
      <w:r>
        <w:t>einfache Körperverletzung | Strafgesetzbuch</w:t>
      </w:r>
    </w:p>
    <w:p>
      <w:pPr>
        <w:pStyle w:val="Heading2"/>
      </w:pPr>
      <w:r>
        <w:t>Erwägungen</w:t>
      </w:r>
    </w:p>
    <w:p>
      <w:r>
        <w:rPr>
          <w:b/>
        </w:rPr>
        <w:t>E. 1</w:t>
      </w:r>
    </w:p>
    <w:p>
      <w:r>
        <w:t>Staatsanwaltschaft , 1. Abteilung, Sicherheitsstützpunkt Biberbrugg, Einsiedlerstrasse 55, 8836 Bennau, Anklagebehörde und Berufungsgegnerin, vertreten durch Staatsanwältin C.________,</w:t>
      </w:r>
    </w:p>
    <w:p>
      <w:r>
        <w:rPr>
          <w:b/>
        </w:rPr>
        <w:t>E. 2</w:t>
      </w:r>
    </w:p>
    <w:p>
      <w:r>
        <w:t>D.________ , Beschuldigter und Berufungsgegner, \n \n \n \n \n \n \n \n betreffend \n einfache Körperverletzung, mehrfache Tätlichkeiten \n \n \n \n (Berufung gegen das Urteil des Bezirksgerichts Schwyz vom 12. März 2025, SGO 2024 5);- \n \n hat die Strafkammer, \n \n nachdem sich ergeben und in Erwägung: \n 1. a) Mit Anklage vom 13. August 2024 wird der Beschuldigte der einfachen Körperverletzung i.S.v.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